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EF" w:rsidRPr="00715EEF" w:rsidRDefault="005D298E" w:rsidP="00AE66A2">
      <w:pPr>
        <w:rPr>
          <w:sz w:val="32"/>
          <w:szCs w:val="32"/>
          <w:u w:val="single"/>
        </w:rPr>
      </w:pPr>
      <w:r w:rsidRPr="00715EEF">
        <w:rPr>
          <w:sz w:val="32"/>
          <w:szCs w:val="32"/>
          <w:u w:val="single"/>
        </w:rPr>
        <w:t>Gesetzliche Grundlagen zur Inklusio</w:t>
      </w:r>
      <w:r w:rsidR="00F21740" w:rsidRPr="00715EEF">
        <w:rPr>
          <w:sz w:val="32"/>
          <w:szCs w:val="32"/>
          <w:u w:val="single"/>
        </w:rPr>
        <w:t>n</w:t>
      </w:r>
    </w:p>
    <w:p w:rsidR="00715EEF" w:rsidRPr="00715EEF" w:rsidRDefault="007C2E59" w:rsidP="00AE66A2">
      <w:pPr>
        <w:rPr>
          <w:sz w:val="28"/>
          <w:szCs w:val="28"/>
          <w:u w:val="single"/>
        </w:rPr>
      </w:pPr>
      <w:r w:rsidRPr="00715EEF">
        <w:rPr>
          <w:sz w:val="28"/>
          <w:szCs w:val="28"/>
        </w:rPr>
        <w:t>Menschenrecht Inklusion</w:t>
      </w:r>
    </w:p>
    <w:p w:rsidR="007C2E59" w:rsidRPr="00715EEF" w:rsidRDefault="007C2E59" w:rsidP="00AE66A2">
      <w:pPr>
        <w:rPr>
          <w:sz w:val="32"/>
          <w:szCs w:val="32"/>
        </w:rPr>
      </w:pPr>
      <w:r w:rsidRPr="00F21740">
        <w:t xml:space="preserve">Zum 26. März 2009 wurde die </w:t>
      </w:r>
      <w:r w:rsidRPr="00F21740">
        <w:rPr>
          <w:b/>
          <w:bCs/>
        </w:rPr>
        <w:t>UN-Konvention über die Rechte von Menschen mit Behinderungen</w:t>
      </w:r>
      <w:r>
        <w:t xml:space="preserve"> (</w:t>
      </w:r>
      <w:proofErr w:type="spellStart"/>
      <w:r>
        <w:t>Convention</w:t>
      </w:r>
      <w:proofErr w:type="spellEnd"/>
      <w:r>
        <w:t xml:space="preserve"> </w:t>
      </w:r>
      <w:r w:rsidRPr="00F21740">
        <w:t xml:space="preserve">on </w:t>
      </w:r>
      <w:proofErr w:type="spellStart"/>
      <w:r w:rsidRPr="00F21740">
        <w:t>the</w:t>
      </w:r>
      <w:proofErr w:type="spellEnd"/>
      <w:r w:rsidRPr="00F21740">
        <w:t xml:space="preserve"> </w:t>
      </w:r>
      <w:proofErr w:type="spellStart"/>
      <w:r w:rsidRPr="00F21740">
        <w:t>Rights</w:t>
      </w:r>
      <w:proofErr w:type="spellEnd"/>
      <w:r w:rsidRPr="00F21740">
        <w:t xml:space="preserve"> </w:t>
      </w:r>
      <w:proofErr w:type="spellStart"/>
      <w:r w:rsidRPr="00F21740">
        <w:t>of</w:t>
      </w:r>
      <w:proofErr w:type="spellEnd"/>
      <w:r w:rsidRPr="00F21740">
        <w:t xml:space="preserve"> </w:t>
      </w:r>
      <w:proofErr w:type="spellStart"/>
      <w:r w:rsidRPr="00F21740">
        <w:t>Persons</w:t>
      </w:r>
      <w:proofErr w:type="spellEnd"/>
      <w:r w:rsidRPr="00F21740">
        <w:t xml:space="preserve"> </w:t>
      </w:r>
      <w:proofErr w:type="spellStart"/>
      <w:r w:rsidRPr="00F21740">
        <w:t>with</w:t>
      </w:r>
      <w:proofErr w:type="spellEnd"/>
      <w:r w:rsidRPr="00F21740">
        <w:t xml:space="preserve"> </w:t>
      </w:r>
      <w:proofErr w:type="spellStart"/>
      <w:r w:rsidRPr="00F21740">
        <w:t>Disabilities</w:t>
      </w:r>
      <w:proofErr w:type="spellEnd"/>
      <w:r w:rsidRPr="00F21740">
        <w:t xml:space="preserve">) durch den deutschen Bundestag ratifiziert. Die Bundesländer in ihrer Kultushoheit haben demnach gemäß Artikel 24 Abs. 2b sicherzustellen, dass „Menschen mit Behinderungen gleichberechtigt mit anderen in der Gemeinschaft, in der sie leben, Zugang zu einem integrativen, hochwertigen und unentgeltlichen Unterricht an Grundschulen und weiterführenden Schulen haben.“ </w:t>
      </w:r>
      <w:r w:rsidRPr="00F21740">
        <w:br/>
        <w:t xml:space="preserve">In Bayern wurde diese Forderung durch das überarbeitete </w:t>
      </w:r>
      <w:hyperlink r:id="rId5" w:tgtFrame="_blank" w:tooltip="Hinweis: Der Link öffnet sich in einem neuen Fenster." w:history="1">
        <w:r w:rsidRPr="00F21740">
          <w:rPr>
            <w:color w:val="0000FF"/>
            <w:u w:val="single"/>
          </w:rPr>
          <w:t>Bayerische Erziehungs- und Unterrichtsgesetz (BayEUG)</w:t>
        </w:r>
      </w:hyperlink>
      <w:r w:rsidRPr="00F21740">
        <w:t xml:space="preserve"> vom 20. Juli 2011 umgesetzt</w:t>
      </w:r>
      <w:r>
        <w:t xml:space="preserve"> und eine entsprechende Änderung des Bayerischen Erziehungs- und Unter</w:t>
      </w:r>
      <w:r w:rsidR="00AE66A2">
        <w:t>richtsgesetzes beschlossen</w:t>
      </w:r>
      <w:r>
        <w:t xml:space="preserve"> </w:t>
      </w:r>
      <w:r w:rsidR="00AE66A2">
        <w:t>:</w:t>
      </w:r>
    </w:p>
    <w:p w:rsidR="0003762B" w:rsidRPr="007C2E59" w:rsidRDefault="00BF6830" w:rsidP="00AE66A2">
      <w:pPr>
        <w:numPr>
          <w:ilvl w:val="0"/>
          <w:numId w:val="3"/>
        </w:numPr>
        <w:tabs>
          <w:tab w:val="clear" w:pos="720"/>
          <w:tab w:val="num" w:pos="360"/>
        </w:tabs>
        <w:spacing w:after="0" w:line="240" w:lineRule="auto"/>
        <w:ind w:left="360"/>
      </w:pPr>
      <w:r w:rsidRPr="00AE66A2">
        <w:t xml:space="preserve">Schülerinnen und Schüler </w:t>
      </w:r>
      <w:r w:rsidRPr="00AE66A2">
        <w:rPr>
          <w:b/>
        </w:rPr>
        <w:t xml:space="preserve">mit und ohne sonderpädagogischem Förderbedarf </w:t>
      </w:r>
      <w:r w:rsidRPr="00AE66A2">
        <w:t xml:space="preserve">können </w:t>
      </w:r>
      <w:r w:rsidRPr="00AE66A2">
        <w:rPr>
          <w:b/>
        </w:rPr>
        <w:t xml:space="preserve">gemeinsam </w:t>
      </w:r>
      <w:r w:rsidRPr="00AE66A2">
        <w:t xml:space="preserve">in Schulen aller </w:t>
      </w:r>
      <w:r w:rsidR="00AF7F3B">
        <w:t>Schularten unterrichtet werden</w:t>
      </w:r>
    </w:p>
    <w:p w:rsidR="007C2E59" w:rsidRPr="007C2E59" w:rsidRDefault="007C2E59" w:rsidP="00AE66A2">
      <w:pPr>
        <w:spacing w:after="0" w:line="240" w:lineRule="auto"/>
        <w:ind w:left="-360"/>
      </w:pPr>
      <w:r w:rsidRPr="007C2E59">
        <w:t xml:space="preserve">    </w:t>
      </w:r>
      <w:r w:rsidR="00AE66A2">
        <w:t xml:space="preserve">      </w:t>
      </w:r>
      <w:r w:rsidRPr="007C2E59">
        <w:t>(Art. 30a Abs. 3 Satz 1 BayEUG)</w:t>
      </w:r>
    </w:p>
    <w:p w:rsidR="007C2E59" w:rsidRPr="007C2E59" w:rsidRDefault="00BF6830" w:rsidP="00A72BE2">
      <w:pPr>
        <w:numPr>
          <w:ilvl w:val="0"/>
          <w:numId w:val="4"/>
        </w:numPr>
        <w:tabs>
          <w:tab w:val="clear" w:pos="720"/>
          <w:tab w:val="num" w:pos="360"/>
        </w:tabs>
        <w:spacing w:after="0" w:line="240" w:lineRule="auto"/>
        <w:ind w:left="360"/>
      </w:pPr>
      <w:r w:rsidRPr="00AE66A2">
        <w:t xml:space="preserve">Ein sonderpädagogischer Förderbedarf begründet </w:t>
      </w:r>
      <w:r w:rsidRPr="00AF7F3B">
        <w:rPr>
          <w:b/>
        </w:rPr>
        <w:t>nicht die</w:t>
      </w:r>
      <w:r w:rsidR="00AE66A2" w:rsidRPr="00AF7F3B">
        <w:rPr>
          <w:b/>
        </w:rPr>
        <w:t xml:space="preserve"> </w:t>
      </w:r>
      <w:r w:rsidR="007C2E59" w:rsidRPr="00AF7F3B">
        <w:rPr>
          <w:b/>
        </w:rPr>
        <w:t>Zugehörigkei</w:t>
      </w:r>
      <w:r w:rsidR="00AE66A2" w:rsidRPr="00AF7F3B">
        <w:rPr>
          <w:b/>
        </w:rPr>
        <w:t xml:space="preserve">t </w:t>
      </w:r>
      <w:r w:rsidR="00AF7F3B">
        <w:t xml:space="preserve">zu einer bestimmten Schulart </w:t>
      </w:r>
      <w:r w:rsidR="007C2E59" w:rsidRPr="007C2E59">
        <w:t>(Art. 30a Abs. 5 Satz 1 BayEUG)</w:t>
      </w:r>
      <w:r w:rsidR="00AF7F3B">
        <w:t>.</w:t>
      </w:r>
    </w:p>
    <w:p w:rsidR="007C2E59" w:rsidRDefault="00BF6830" w:rsidP="00DE4BA3">
      <w:pPr>
        <w:numPr>
          <w:ilvl w:val="0"/>
          <w:numId w:val="5"/>
        </w:numPr>
        <w:tabs>
          <w:tab w:val="clear" w:pos="360"/>
          <w:tab w:val="num" w:pos="720"/>
        </w:tabs>
        <w:spacing w:after="0" w:line="240" w:lineRule="auto"/>
      </w:pPr>
      <w:r w:rsidRPr="00AF7F3B">
        <w:rPr>
          <w:b/>
        </w:rPr>
        <w:t>Die Erziehungsberechtigten entscheiden</w:t>
      </w:r>
      <w:r w:rsidRPr="00AE66A2">
        <w:t>, an welchem der im</w:t>
      </w:r>
      <w:r w:rsidR="00AE66A2">
        <w:t xml:space="preserve"> </w:t>
      </w:r>
      <w:r w:rsidR="007C2E59" w:rsidRPr="00AE66A2">
        <w:t>Einzelfall rechtlich und tatsächlich zur Verfügung stehenden schulischen Lernorte ihr</w:t>
      </w:r>
      <w:r w:rsidR="00AF7F3B">
        <w:t xml:space="preserve"> Kind unterrichtet werden soll</w:t>
      </w:r>
      <w:r w:rsidR="007C2E59" w:rsidRPr="00AE66A2">
        <w:t xml:space="preserve"> (</w:t>
      </w:r>
      <w:r w:rsidR="007C2E59" w:rsidRPr="007C2E59">
        <w:t>Art. 41 Abs. 1 Satz 3 BayEUG)</w:t>
      </w:r>
      <w:r w:rsidR="00AF7F3B">
        <w:t>.</w:t>
      </w:r>
    </w:p>
    <w:p w:rsidR="00AF7F3B" w:rsidRDefault="00AF7F3B" w:rsidP="00AF7F3B">
      <w:pPr>
        <w:spacing w:after="0" w:line="240" w:lineRule="auto"/>
        <w:ind w:left="360"/>
        <w:rPr>
          <w:b/>
        </w:rPr>
      </w:pPr>
      <w:r>
        <w:rPr>
          <w:b/>
        </w:rPr>
        <w:t>Ausschlusskriterien für den Besuch einer Rege</w:t>
      </w:r>
      <w:r w:rsidR="008D7C12">
        <w:rPr>
          <w:b/>
        </w:rPr>
        <w:t>lschule</w:t>
      </w:r>
      <w:r>
        <w:rPr>
          <w:b/>
        </w:rPr>
        <w:t>:</w:t>
      </w:r>
    </w:p>
    <w:p w:rsidR="00AF7F3B" w:rsidRDefault="00AF7F3B" w:rsidP="00AF7F3B">
      <w:pPr>
        <w:spacing w:after="0" w:line="240" w:lineRule="auto"/>
        <w:ind w:left="708"/>
      </w:pPr>
      <w:r w:rsidRPr="00AF7F3B">
        <w:t>Die Schülerin / der Schüler ist dadurch in der Entwicklung gefährdet</w:t>
      </w:r>
    </w:p>
    <w:p w:rsidR="00AF7F3B" w:rsidRDefault="00AF7F3B" w:rsidP="00AF7F3B">
      <w:pPr>
        <w:spacing w:after="0" w:line="240" w:lineRule="auto"/>
        <w:ind w:left="708"/>
      </w:pPr>
      <w:r>
        <w:t>oder</w:t>
      </w:r>
    </w:p>
    <w:p w:rsidR="00AF7F3B" w:rsidRDefault="00AF7F3B" w:rsidP="00AF7F3B">
      <w:pPr>
        <w:spacing w:after="0" w:line="240" w:lineRule="auto"/>
        <w:ind w:left="708"/>
      </w:pPr>
      <w:r>
        <w:t>beeinträchtigt die Rechte von Mitgliedern der Schulgemeinschaft erheblich</w:t>
      </w:r>
    </w:p>
    <w:p w:rsidR="00BF6830" w:rsidRDefault="00AF7F3B" w:rsidP="00BF6830">
      <w:pPr>
        <w:spacing w:after="0" w:line="240" w:lineRule="auto"/>
        <w:ind w:left="708"/>
      </w:pPr>
      <w:r>
        <w:t>(Art. 41 Abs. 5 BayEUG</w:t>
      </w:r>
    </w:p>
    <w:p w:rsidR="00BF6830" w:rsidRDefault="00BF6830" w:rsidP="00BF6830">
      <w:pPr>
        <w:spacing w:after="0" w:line="240" w:lineRule="auto"/>
        <w:ind w:left="708"/>
      </w:pPr>
    </w:p>
    <w:p w:rsidR="00BF6830" w:rsidRDefault="00BF6830" w:rsidP="00BF6830">
      <w:pPr>
        <w:spacing w:after="0" w:line="240" w:lineRule="auto"/>
        <w:ind w:left="708"/>
      </w:pPr>
    </w:p>
    <w:p w:rsidR="00BF6830" w:rsidRDefault="00BF6830" w:rsidP="00BF6830">
      <w:pPr>
        <w:spacing w:after="0" w:line="240" w:lineRule="auto"/>
        <w:ind w:left="708"/>
      </w:pPr>
    </w:p>
    <w:p w:rsidR="006D4C4E" w:rsidRPr="00BF6830" w:rsidRDefault="006D4C4E" w:rsidP="00BF6830">
      <w:pPr>
        <w:spacing w:after="0" w:line="240" w:lineRule="auto"/>
        <w:ind w:left="708"/>
      </w:pPr>
      <w:r w:rsidRPr="00BF6830">
        <w:t xml:space="preserve">Art.2.Abs. 2 BayEUG: </w:t>
      </w:r>
      <w:r w:rsidRPr="00BF6830">
        <w:rPr>
          <w:b/>
        </w:rPr>
        <w:t>Inklusiver Unterricht ist Aufgabe aller Schulen</w:t>
      </w: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BF6830" w:rsidRDefault="00BF6830" w:rsidP="00AE66A2">
      <w:pPr>
        <w:spacing w:after="0" w:line="240" w:lineRule="auto"/>
      </w:pPr>
    </w:p>
    <w:p w:rsidR="006D4C4E" w:rsidRDefault="00BF6830" w:rsidP="00BF6830">
      <w:pPr>
        <w:spacing w:after="0" w:line="240" w:lineRule="auto"/>
        <w:ind w:left="360"/>
      </w:pPr>
      <w:r>
        <w:lastRenderedPageBreak/>
        <w:t xml:space="preserve"> </w:t>
      </w:r>
      <w:r w:rsidR="006D4C4E">
        <w:t xml:space="preserve">Art. 30 b BayEUG: </w:t>
      </w:r>
      <w:r w:rsidR="006D4C4E" w:rsidRPr="006D4C4E">
        <w:rPr>
          <w:b/>
        </w:rPr>
        <w:t xml:space="preserve">Inklusive Schule als Ziel der Schulentwicklung aller </w:t>
      </w:r>
      <w:r>
        <w:rPr>
          <w:b/>
        </w:rPr>
        <w:t xml:space="preserve">              </w:t>
      </w:r>
      <w:r w:rsidR="006D4C4E" w:rsidRPr="006D4C4E">
        <w:rPr>
          <w:b/>
        </w:rPr>
        <w:t>Schulen</w:t>
      </w:r>
    </w:p>
    <w:p w:rsidR="00715EEF" w:rsidRDefault="00715EEF" w:rsidP="00715EEF">
      <w:pPr>
        <w:pStyle w:val="Listenabsatz"/>
        <w:spacing w:after="0" w:line="240" w:lineRule="auto"/>
        <w:rPr>
          <w:b/>
        </w:rPr>
      </w:pPr>
    </w:p>
    <w:p w:rsidR="006D4C4E" w:rsidRPr="006D4C4E" w:rsidRDefault="006D4C4E" w:rsidP="006D4C4E">
      <w:pPr>
        <w:pStyle w:val="Listenabsatz"/>
        <w:numPr>
          <w:ilvl w:val="0"/>
          <w:numId w:val="7"/>
        </w:numPr>
        <w:spacing w:after="0" w:line="240" w:lineRule="auto"/>
        <w:rPr>
          <w:b/>
        </w:rPr>
      </w:pPr>
      <w:r w:rsidRPr="006D4C4E">
        <w:rPr>
          <w:b/>
        </w:rPr>
        <w:t>Einzelinklusion</w:t>
      </w:r>
    </w:p>
    <w:p w:rsidR="006D4C4E" w:rsidRPr="00BF6830" w:rsidRDefault="006D4C4E" w:rsidP="00BF6830">
      <w:pPr>
        <w:pStyle w:val="Listenabsatz"/>
        <w:rPr>
          <w:i/>
          <w:iCs/>
        </w:rPr>
      </w:pPr>
      <w:r w:rsidRPr="006D4C4E">
        <w:rPr>
          <w:i/>
          <w:iCs/>
        </w:rPr>
        <w:t>Kinder mit sonderpädagogischem Förderbedarf, die die allgemeine Schule besuchen, werden unter Beachtung ihres Förderbedarfs unterrichtet und durch die Mobilen Sonderpädagogischen Dienste unterstützt.</w:t>
      </w:r>
      <w:r w:rsidRPr="007C2E59">
        <w:rPr>
          <w:noProof/>
          <w:lang w:eastAsia="de-DE"/>
        </w:rPr>
        <w:drawing>
          <wp:inline distT="0" distB="0" distL="0" distR="0" wp14:anchorId="03D5E0B0" wp14:editId="3F1978E2">
            <wp:extent cx="3705225" cy="196917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390" cy="2024004"/>
                    </a:xfrm>
                    <a:prstGeom prst="rect">
                      <a:avLst/>
                    </a:prstGeom>
                    <a:noFill/>
                    <a:ln>
                      <a:noFill/>
                    </a:ln>
                    <a:effectLst/>
                    <a:extLst/>
                  </pic:spPr>
                </pic:pic>
              </a:graphicData>
            </a:graphic>
          </wp:inline>
        </w:drawing>
      </w:r>
    </w:p>
    <w:p w:rsidR="006D4C4E" w:rsidRPr="00BF6830" w:rsidRDefault="006D4C4E" w:rsidP="00BF6830">
      <w:pPr>
        <w:pStyle w:val="Listenabsatz"/>
        <w:numPr>
          <w:ilvl w:val="0"/>
          <w:numId w:val="7"/>
        </w:numPr>
        <w:spacing w:after="0" w:line="240" w:lineRule="auto"/>
        <w:rPr>
          <w:b/>
        </w:rPr>
      </w:pPr>
      <w:r w:rsidRPr="00BF6830">
        <w:rPr>
          <w:b/>
        </w:rPr>
        <w:t>Schulen mit Schulprofil Inklusion</w:t>
      </w:r>
    </w:p>
    <w:p w:rsidR="00715EEF" w:rsidRDefault="006D4C4E" w:rsidP="006D4C4E">
      <w:pPr>
        <w:pStyle w:val="Listenabsatz"/>
        <w:rPr>
          <w:i/>
          <w:iCs/>
        </w:rPr>
      </w:pPr>
      <w:r w:rsidRPr="006D4C4E">
        <w:rPr>
          <w:i/>
          <w:iCs/>
        </w:rPr>
        <w:t>Eine Schule mit dem Schulprofil „Inklusion“ setzt auf der Grundlage eines gemeinsamen Bildungs- und Erziehungskonzepts in Unterricht und Schulleben individuelle Förderung für alle Schülerinnen und Schüler um.</w:t>
      </w:r>
    </w:p>
    <w:p w:rsidR="006D4C4E" w:rsidRDefault="006D4C4E" w:rsidP="006D4C4E">
      <w:pPr>
        <w:pStyle w:val="Listenabsatz"/>
        <w:rPr>
          <w:i/>
          <w:iCs/>
        </w:rPr>
      </w:pPr>
      <w:r w:rsidRPr="006D4C4E">
        <w:rPr>
          <w:noProof/>
          <w:lang w:eastAsia="de-DE"/>
        </w:rPr>
        <w:t xml:space="preserve"> </w:t>
      </w:r>
    </w:p>
    <w:p w:rsidR="006D4C4E" w:rsidRPr="007C2E59" w:rsidRDefault="00715EEF" w:rsidP="006D4C4E">
      <w:pPr>
        <w:pStyle w:val="Listenabsatz"/>
      </w:pPr>
      <w:r>
        <w:rPr>
          <w:noProof/>
          <w:lang w:eastAsia="de-DE"/>
        </w:rPr>
        <w:drawing>
          <wp:inline distT="0" distB="0" distL="0" distR="0" wp14:anchorId="1D7EE1F8" wp14:editId="27AFB9D1">
            <wp:extent cx="1743075" cy="1829466"/>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418" cy="1877057"/>
                    </a:xfrm>
                    <a:prstGeom prst="rect">
                      <a:avLst/>
                    </a:prstGeom>
                    <a:noFill/>
                    <a:ln>
                      <a:noFill/>
                    </a:ln>
                    <a:effectLst/>
                    <a:extLst/>
                  </pic:spPr>
                </pic:pic>
              </a:graphicData>
            </a:graphic>
          </wp:inline>
        </w:drawing>
      </w:r>
    </w:p>
    <w:p w:rsidR="006D4C4E" w:rsidRPr="00BF6830" w:rsidRDefault="00BF6830" w:rsidP="00715EEF">
      <w:pPr>
        <w:spacing w:after="0" w:line="240" w:lineRule="auto"/>
        <w:rPr>
          <w:b/>
        </w:rPr>
      </w:pPr>
      <w:r>
        <w:rPr>
          <w:b/>
        </w:rPr>
        <w:t xml:space="preserve">         </w:t>
      </w:r>
      <w:r w:rsidR="00715EEF">
        <w:rPr>
          <w:b/>
        </w:rPr>
        <w:t xml:space="preserve"> </w:t>
      </w:r>
      <w:r w:rsidR="006D4C4E" w:rsidRPr="00535617">
        <w:rPr>
          <w:u w:val="single"/>
        </w:rPr>
        <w:t>Klassen mit festem Lehrertandem</w:t>
      </w:r>
    </w:p>
    <w:p w:rsidR="00535617" w:rsidRDefault="00535617" w:rsidP="001F184A">
      <w:pPr>
        <w:ind w:left="708"/>
        <w:rPr>
          <w:i/>
          <w:iCs/>
        </w:rPr>
      </w:pPr>
      <w:r w:rsidRPr="007C2E59">
        <w:rPr>
          <w:i/>
          <w:iCs/>
        </w:rPr>
        <w:t>Für Schülerinnen und Schüler mit sehr hohem sonderpädagogischen Förderbedarf können in Schulen mit dem Schulprofil „Inklusion“ Klassen gebildet werden, in denen sie im gemeinsamen Unterricht durch eine Lehrkraft der allgemeinen Schule und eine Förderschullehrkraft (</w:t>
      </w:r>
      <w:r w:rsidRPr="007C2E59">
        <w:rPr>
          <w:b/>
          <w:bCs/>
          <w:i/>
          <w:iCs/>
        </w:rPr>
        <w:t>Lehrertandem</w:t>
      </w:r>
      <w:r w:rsidRPr="007C2E59">
        <w:rPr>
          <w:i/>
          <w:iCs/>
        </w:rPr>
        <w:t>) unterrichtet werden</w:t>
      </w:r>
      <w:r w:rsidR="001F184A">
        <w:rPr>
          <w:i/>
          <w:iCs/>
        </w:rPr>
        <w:t>.</w:t>
      </w:r>
    </w:p>
    <w:p w:rsidR="00715EEF" w:rsidRDefault="00715EEF" w:rsidP="00BF6830"/>
    <w:p w:rsidR="007C2E59" w:rsidRDefault="001F184A" w:rsidP="007C2E59">
      <w:pPr>
        <w:jc w:val="both"/>
      </w:pPr>
      <w:r>
        <w:t xml:space="preserve">         </w:t>
      </w:r>
      <w:r w:rsidR="007C2E59" w:rsidRPr="007C2E59">
        <w:rPr>
          <w:noProof/>
          <w:lang w:eastAsia="de-DE"/>
        </w:rPr>
        <w:drawing>
          <wp:inline distT="0" distB="0" distL="0" distR="0" wp14:anchorId="0A4E3AA9" wp14:editId="3BB28E17">
            <wp:extent cx="3857625" cy="1268474"/>
            <wp:effectExtent l="0" t="0" r="0" b="8255"/>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947" cy="1299489"/>
                    </a:xfrm>
                    <a:prstGeom prst="rect">
                      <a:avLst/>
                    </a:prstGeom>
                    <a:noFill/>
                    <a:ln>
                      <a:noFill/>
                    </a:ln>
                    <a:effectLst/>
                    <a:extLst/>
                  </pic:spPr>
                </pic:pic>
              </a:graphicData>
            </a:graphic>
          </wp:inline>
        </w:drawing>
      </w:r>
    </w:p>
    <w:p w:rsidR="001F184A" w:rsidRDefault="001F184A" w:rsidP="00535617">
      <w:pPr>
        <w:rPr>
          <w:b/>
        </w:rPr>
      </w:pPr>
      <w:r>
        <w:rPr>
          <w:b/>
        </w:rPr>
        <w:t xml:space="preserve">     </w:t>
      </w:r>
    </w:p>
    <w:p w:rsidR="00535617" w:rsidRPr="00715EEF" w:rsidRDefault="00535617" w:rsidP="00535617">
      <w:pPr>
        <w:rPr>
          <w:b/>
        </w:rPr>
      </w:pPr>
      <w:r w:rsidRPr="00715EEF">
        <w:lastRenderedPageBreak/>
        <w:t>Art. 30 a BayEUG</w:t>
      </w:r>
      <w:r w:rsidRPr="00715EEF">
        <w:rPr>
          <w:b/>
        </w:rPr>
        <w:t>: Zusammenarbeit von Schulen – Kooperatives Lernen</w:t>
      </w:r>
    </w:p>
    <w:p w:rsidR="001F184A" w:rsidRPr="001F184A" w:rsidRDefault="007C2E59" w:rsidP="00115A12">
      <w:pPr>
        <w:pStyle w:val="Listenabsatz"/>
        <w:numPr>
          <w:ilvl w:val="0"/>
          <w:numId w:val="7"/>
        </w:numPr>
        <w:ind w:left="360"/>
        <w:jc w:val="both"/>
      </w:pPr>
      <w:r w:rsidRPr="001F184A">
        <w:rPr>
          <w:b/>
          <w:bCs/>
        </w:rPr>
        <w:t xml:space="preserve">Kooperationsklassen </w:t>
      </w:r>
    </w:p>
    <w:p w:rsidR="007C2E59" w:rsidRDefault="007C2E59" w:rsidP="001F184A">
      <w:pPr>
        <w:pStyle w:val="Listenabsatz"/>
        <w:ind w:left="360"/>
        <w:jc w:val="both"/>
        <w:rPr>
          <w:i/>
          <w:iCs/>
        </w:rPr>
      </w:pPr>
      <w:r w:rsidRPr="001F184A">
        <w:rPr>
          <w:i/>
          <w:iCs/>
        </w:rPr>
        <w:t>Kooperationsklassen sind Klassen der allgemeinen Schule, die</w:t>
      </w:r>
      <w:r w:rsidR="00AE66A2" w:rsidRPr="001F184A">
        <w:rPr>
          <w:i/>
          <w:iCs/>
        </w:rPr>
        <w:t xml:space="preserve"> </w:t>
      </w:r>
      <w:r w:rsidRPr="001F184A">
        <w:rPr>
          <w:i/>
          <w:iCs/>
        </w:rPr>
        <w:t>ca. 3–5 Kinder mit sonderpädagogischen Förderbedarf mit Kindern ohne sonderpädagogischen Förderbedarf besuchen. Eine Lehrkraft der Förderschule (MSD) betreut die Kooperationsklasse mit mehreren Stunden pro Woche.</w:t>
      </w:r>
    </w:p>
    <w:p w:rsidR="007C2E59" w:rsidRDefault="007C2E59" w:rsidP="007C2E59">
      <w:pPr>
        <w:jc w:val="both"/>
      </w:pPr>
      <w:r w:rsidRPr="007C2E59">
        <w:rPr>
          <w:noProof/>
          <w:lang w:eastAsia="de-DE"/>
        </w:rPr>
        <w:drawing>
          <wp:inline distT="0" distB="0" distL="0" distR="0" wp14:anchorId="66031FEF" wp14:editId="3E4F0E72">
            <wp:extent cx="3790950" cy="1443754"/>
            <wp:effectExtent l="0" t="0" r="0" b="444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953" cy="1482982"/>
                    </a:xfrm>
                    <a:prstGeom prst="rect">
                      <a:avLst/>
                    </a:prstGeom>
                    <a:noFill/>
                    <a:ln>
                      <a:noFill/>
                    </a:ln>
                    <a:effectLst/>
                    <a:extLst/>
                  </pic:spPr>
                </pic:pic>
              </a:graphicData>
            </a:graphic>
          </wp:inline>
        </w:drawing>
      </w:r>
    </w:p>
    <w:p w:rsidR="007C2E59" w:rsidRPr="007C2E59" w:rsidRDefault="007C2E59" w:rsidP="001F184A">
      <w:pPr>
        <w:pStyle w:val="Listenabsatz"/>
        <w:numPr>
          <w:ilvl w:val="0"/>
          <w:numId w:val="7"/>
        </w:numPr>
        <w:tabs>
          <w:tab w:val="left" w:pos="1185"/>
        </w:tabs>
      </w:pPr>
      <w:r w:rsidRPr="001F184A">
        <w:rPr>
          <w:b/>
          <w:bCs/>
        </w:rPr>
        <w:t>Partnerklassen (Art. 30 aAbs.7 BayEUG)</w:t>
      </w:r>
    </w:p>
    <w:p w:rsidR="007C2E59" w:rsidRPr="007C2E59" w:rsidRDefault="007C2E59" w:rsidP="001F184A">
      <w:pPr>
        <w:tabs>
          <w:tab w:val="left" w:pos="1185"/>
        </w:tabs>
        <w:ind w:left="360"/>
      </w:pPr>
      <w:r w:rsidRPr="007C2E59">
        <w:rPr>
          <w:i/>
          <w:iCs/>
        </w:rPr>
        <w:t xml:space="preserve">Partnerklassen sind vor allem Klassen der Förderschule an einer allgemeinen Schule, die Kinder mit sonderpädagogischem Förderbedarf besuchen. Hier </w:t>
      </w:r>
      <w:r>
        <w:rPr>
          <w:i/>
          <w:iCs/>
        </w:rPr>
        <w:t>arbeiten eine Klasse der Förder</w:t>
      </w:r>
      <w:r w:rsidRPr="007C2E59">
        <w:rPr>
          <w:i/>
          <w:iCs/>
        </w:rPr>
        <w:t>schule und eine Klasse der allgemeinen Schule zusammen. Art und Umfang des gemeinsamen Unterrichts stimmen die Lehrkräfte miteinander ab.</w:t>
      </w:r>
    </w:p>
    <w:p w:rsidR="007C2E59" w:rsidRDefault="001F184A" w:rsidP="007C2E59">
      <w:pPr>
        <w:tabs>
          <w:tab w:val="left" w:pos="1185"/>
        </w:tabs>
      </w:pPr>
      <w:r>
        <w:t xml:space="preserve">       </w:t>
      </w:r>
      <w:r w:rsidR="007C2E59" w:rsidRPr="007C2E59">
        <w:rPr>
          <w:noProof/>
          <w:lang w:eastAsia="de-DE"/>
        </w:rPr>
        <w:drawing>
          <wp:inline distT="0" distB="0" distL="0" distR="0" wp14:anchorId="6A59120E" wp14:editId="5C2A2F13">
            <wp:extent cx="2095926" cy="1688070"/>
            <wp:effectExtent l="0" t="0" r="0" b="762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909" cy="1702553"/>
                    </a:xfrm>
                    <a:prstGeom prst="rect">
                      <a:avLst/>
                    </a:prstGeom>
                    <a:noFill/>
                    <a:ln>
                      <a:noFill/>
                    </a:ln>
                    <a:effectLst/>
                    <a:extLst/>
                  </pic:spPr>
                </pic:pic>
              </a:graphicData>
            </a:graphic>
          </wp:inline>
        </w:drawing>
      </w:r>
    </w:p>
    <w:p w:rsidR="00AE66A2" w:rsidRPr="00AE66A2" w:rsidRDefault="00AE66A2" w:rsidP="00715EEF">
      <w:pPr>
        <w:pStyle w:val="Listenabsatz"/>
        <w:numPr>
          <w:ilvl w:val="0"/>
          <w:numId w:val="7"/>
        </w:numPr>
        <w:tabs>
          <w:tab w:val="left" w:pos="1185"/>
        </w:tabs>
      </w:pPr>
      <w:r w:rsidRPr="00715EEF">
        <w:rPr>
          <w:b/>
          <w:bCs/>
        </w:rPr>
        <w:t>Offene Klassen der Förderschulen (Art. 30 a Abs.7 BayEUG)</w:t>
      </w:r>
    </w:p>
    <w:p w:rsidR="00AE66A2" w:rsidRPr="00AE66A2" w:rsidRDefault="00AE66A2" w:rsidP="001F184A">
      <w:pPr>
        <w:tabs>
          <w:tab w:val="left" w:pos="1185"/>
        </w:tabs>
        <w:ind w:left="360"/>
      </w:pPr>
      <w:r w:rsidRPr="00AE66A2">
        <w:rPr>
          <w:i/>
          <w:iCs/>
        </w:rPr>
        <w:t>In den Förderschulen ist gemeinsamer Unterricht auch in den sogenannten offenen Klassen möglich, in die auch Schüler ohne sonderpädagogischen</w:t>
      </w:r>
      <w:r>
        <w:rPr>
          <w:i/>
          <w:iCs/>
        </w:rPr>
        <w:t xml:space="preserve"> </w:t>
      </w:r>
      <w:r w:rsidRPr="00AE66A2">
        <w:rPr>
          <w:i/>
          <w:iCs/>
        </w:rPr>
        <w:t>Förderbedarf aufgenommen werden können.</w:t>
      </w:r>
    </w:p>
    <w:p w:rsidR="00AE66A2" w:rsidRDefault="001F184A" w:rsidP="007C2E59">
      <w:pPr>
        <w:tabs>
          <w:tab w:val="left" w:pos="1185"/>
        </w:tabs>
      </w:pPr>
      <w:r>
        <w:t xml:space="preserve">      </w:t>
      </w:r>
      <w:r w:rsidR="00AE66A2" w:rsidRPr="00AE66A2">
        <w:rPr>
          <w:noProof/>
          <w:lang w:eastAsia="de-DE"/>
        </w:rPr>
        <w:drawing>
          <wp:inline distT="0" distB="0" distL="0" distR="0" wp14:anchorId="4AD781E8" wp14:editId="2B0F113E">
            <wp:extent cx="2009775" cy="1965673"/>
            <wp:effectExtent l="0" t="0" r="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4783" cy="1990132"/>
                    </a:xfrm>
                    <a:prstGeom prst="rect">
                      <a:avLst/>
                    </a:prstGeom>
                    <a:noFill/>
                    <a:ln>
                      <a:noFill/>
                    </a:ln>
                    <a:effectLst/>
                    <a:extLst/>
                  </pic:spPr>
                </pic:pic>
              </a:graphicData>
            </a:graphic>
          </wp:inline>
        </w:drawing>
      </w:r>
    </w:p>
    <w:p w:rsidR="00AE66A2" w:rsidRPr="00AE66A2" w:rsidRDefault="00AE66A2" w:rsidP="007C2E59">
      <w:pPr>
        <w:tabs>
          <w:tab w:val="left" w:pos="1185"/>
        </w:tabs>
        <w:rPr>
          <w:sz w:val="36"/>
          <w:szCs w:val="36"/>
        </w:rPr>
      </w:pPr>
      <w:r w:rsidRPr="00AE66A2">
        <w:rPr>
          <w:sz w:val="36"/>
          <w:szCs w:val="36"/>
        </w:rPr>
        <w:lastRenderedPageBreak/>
        <w:t>Inklusion im Landkreis Nürnberger Land</w:t>
      </w:r>
    </w:p>
    <w:p w:rsidR="0003762B" w:rsidRPr="00AE66A2" w:rsidRDefault="00BF6830" w:rsidP="00AE66A2">
      <w:pPr>
        <w:numPr>
          <w:ilvl w:val="0"/>
          <w:numId w:val="6"/>
        </w:numPr>
        <w:tabs>
          <w:tab w:val="left" w:pos="1185"/>
        </w:tabs>
      </w:pPr>
      <w:r w:rsidRPr="00AE66A2">
        <w:t>Inklusion einzelner Schüler an fast jeder Schule</w:t>
      </w:r>
    </w:p>
    <w:p w:rsidR="0003762B" w:rsidRPr="00AE66A2" w:rsidRDefault="00BF6830" w:rsidP="00AE66A2">
      <w:pPr>
        <w:numPr>
          <w:ilvl w:val="0"/>
          <w:numId w:val="6"/>
        </w:numPr>
        <w:tabs>
          <w:tab w:val="left" w:pos="1185"/>
        </w:tabs>
      </w:pPr>
      <w:r w:rsidRPr="00AE66A2">
        <w:t>Schulen mit Schulprofil Inklusion:</w:t>
      </w:r>
    </w:p>
    <w:p w:rsidR="0003762B" w:rsidRPr="00AE66A2" w:rsidRDefault="00AE66A2" w:rsidP="00AE66A2">
      <w:pPr>
        <w:numPr>
          <w:ilvl w:val="1"/>
          <w:numId w:val="6"/>
        </w:numPr>
        <w:tabs>
          <w:tab w:val="left" w:pos="1185"/>
        </w:tabs>
      </w:pPr>
      <w:r>
        <w:t xml:space="preserve"> </w:t>
      </w:r>
      <w:r w:rsidR="00BF6830" w:rsidRPr="00AE66A2">
        <w:t xml:space="preserve">MS </w:t>
      </w:r>
      <w:proofErr w:type="spellStart"/>
      <w:r w:rsidR="00BF6830" w:rsidRPr="00AE66A2">
        <w:t>Röthenbach</w:t>
      </w:r>
      <w:proofErr w:type="spellEnd"/>
      <w:r w:rsidR="00BF6830" w:rsidRPr="00AE66A2">
        <w:t xml:space="preserve"> / </w:t>
      </w:r>
      <w:proofErr w:type="spellStart"/>
      <w:r w:rsidR="00BF6830" w:rsidRPr="00AE66A2">
        <w:t>Pegn</w:t>
      </w:r>
      <w:proofErr w:type="spellEnd"/>
      <w:r w:rsidR="00BF6830" w:rsidRPr="00AE66A2">
        <w:t>.</w:t>
      </w:r>
    </w:p>
    <w:p w:rsidR="0003762B" w:rsidRPr="00AE66A2" w:rsidRDefault="00AE66A2" w:rsidP="00AE66A2">
      <w:pPr>
        <w:numPr>
          <w:ilvl w:val="1"/>
          <w:numId w:val="6"/>
        </w:numPr>
        <w:tabs>
          <w:tab w:val="left" w:pos="1185"/>
        </w:tabs>
      </w:pPr>
      <w:r>
        <w:t xml:space="preserve"> </w:t>
      </w:r>
      <w:r w:rsidR="00BF6830" w:rsidRPr="00AE66A2">
        <w:t xml:space="preserve">MS </w:t>
      </w:r>
      <w:proofErr w:type="spellStart"/>
      <w:r w:rsidR="00BF6830" w:rsidRPr="00AE66A2">
        <w:t>Happurg</w:t>
      </w:r>
      <w:proofErr w:type="spellEnd"/>
    </w:p>
    <w:p w:rsidR="0003762B" w:rsidRPr="00AE66A2" w:rsidRDefault="00AE66A2" w:rsidP="00AE66A2">
      <w:pPr>
        <w:numPr>
          <w:ilvl w:val="1"/>
          <w:numId w:val="6"/>
        </w:numPr>
        <w:tabs>
          <w:tab w:val="left" w:pos="1185"/>
        </w:tabs>
      </w:pPr>
      <w:r>
        <w:t xml:space="preserve"> </w:t>
      </w:r>
      <w:r w:rsidR="00BF6830" w:rsidRPr="00AE66A2">
        <w:t xml:space="preserve">GS </w:t>
      </w:r>
      <w:proofErr w:type="spellStart"/>
      <w:r w:rsidR="00BF6830" w:rsidRPr="00AE66A2">
        <w:t>Heuchling</w:t>
      </w:r>
      <w:proofErr w:type="spellEnd"/>
    </w:p>
    <w:p w:rsidR="0003762B" w:rsidRPr="00AE66A2" w:rsidRDefault="00BF6830" w:rsidP="00AE66A2">
      <w:pPr>
        <w:numPr>
          <w:ilvl w:val="0"/>
          <w:numId w:val="6"/>
        </w:numPr>
        <w:tabs>
          <w:tab w:val="left" w:pos="1185"/>
        </w:tabs>
      </w:pPr>
      <w:r w:rsidRPr="00AE66A2">
        <w:t>Kooperationsklassen</w:t>
      </w:r>
    </w:p>
    <w:p w:rsidR="0003762B" w:rsidRPr="00AE66A2" w:rsidRDefault="00AE66A2" w:rsidP="00AE66A2">
      <w:pPr>
        <w:numPr>
          <w:ilvl w:val="1"/>
          <w:numId w:val="6"/>
        </w:numPr>
        <w:tabs>
          <w:tab w:val="left" w:pos="1185"/>
        </w:tabs>
      </w:pPr>
      <w:r>
        <w:t xml:space="preserve"> </w:t>
      </w:r>
      <w:r w:rsidR="00BF6830" w:rsidRPr="00AE66A2">
        <w:t>an mehreren GS</w:t>
      </w:r>
      <w:r w:rsidR="001475FC">
        <w:t xml:space="preserve"> (z. B. Lauf, Burgthann, </w:t>
      </w:r>
      <w:proofErr w:type="spellStart"/>
      <w:r w:rsidR="001475FC">
        <w:t>Röthenbach</w:t>
      </w:r>
      <w:proofErr w:type="spellEnd"/>
      <w:r w:rsidR="00BF6830">
        <w:t>, Altdorf</w:t>
      </w:r>
      <w:r w:rsidR="004F66DC">
        <w:t>, Fe</w:t>
      </w:r>
      <w:bookmarkStart w:id="0" w:name="_GoBack"/>
      <w:bookmarkEnd w:id="0"/>
      <w:r w:rsidR="004F66DC">
        <w:t>ucht</w:t>
      </w:r>
      <w:r w:rsidR="001475FC">
        <w:t>)</w:t>
      </w:r>
    </w:p>
    <w:p w:rsidR="0003762B" w:rsidRPr="00AE66A2" w:rsidRDefault="00AE66A2" w:rsidP="003379B9">
      <w:pPr>
        <w:numPr>
          <w:ilvl w:val="1"/>
          <w:numId w:val="6"/>
        </w:numPr>
        <w:tabs>
          <w:tab w:val="left" w:pos="1185"/>
        </w:tabs>
      </w:pPr>
      <w:r>
        <w:t xml:space="preserve"> </w:t>
      </w:r>
      <w:r w:rsidR="00BF6830" w:rsidRPr="00AE66A2">
        <w:t>Partnerklasse</w:t>
      </w:r>
      <w:r>
        <w:t xml:space="preserve"> </w:t>
      </w:r>
      <w:r w:rsidR="00BF6830" w:rsidRPr="00AE66A2">
        <w:t xml:space="preserve">aus Schönberg an der GS </w:t>
      </w:r>
      <w:proofErr w:type="spellStart"/>
      <w:r w:rsidR="00BF6830" w:rsidRPr="00AE66A2">
        <w:t>Diepersdorf</w:t>
      </w:r>
      <w:proofErr w:type="spellEnd"/>
    </w:p>
    <w:p w:rsidR="00AE66A2" w:rsidRPr="007C2E59" w:rsidRDefault="00AE66A2" w:rsidP="007C2E59">
      <w:pPr>
        <w:tabs>
          <w:tab w:val="left" w:pos="1185"/>
        </w:tabs>
      </w:pPr>
    </w:p>
    <w:sectPr w:rsidR="00AE66A2" w:rsidRPr="007C2E59" w:rsidSect="00BF683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EB1"/>
    <w:multiLevelType w:val="hybridMultilevel"/>
    <w:tmpl w:val="CD42E7A8"/>
    <w:lvl w:ilvl="0" w:tplc="B1245C0A">
      <w:start w:val="1"/>
      <w:numFmt w:val="bullet"/>
      <w:lvlText w:val=""/>
      <w:lvlJc w:val="left"/>
      <w:pPr>
        <w:tabs>
          <w:tab w:val="num" w:pos="720"/>
        </w:tabs>
        <w:ind w:left="720" w:hanging="360"/>
      </w:pPr>
      <w:rPr>
        <w:rFonts w:ascii="Wingdings 2" w:hAnsi="Wingdings 2" w:hint="default"/>
      </w:rPr>
    </w:lvl>
    <w:lvl w:ilvl="1" w:tplc="6264247C" w:tentative="1">
      <w:start w:val="1"/>
      <w:numFmt w:val="bullet"/>
      <w:lvlText w:val=""/>
      <w:lvlJc w:val="left"/>
      <w:pPr>
        <w:tabs>
          <w:tab w:val="num" w:pos="1440"/>
        </w:tabs>
        <w:ind w:left="1440" w:hanging="360"/>
      </w:pPr>
      <w:rPr>
        <w:rFonts w:ascii="Wingdings 2" w:hAnsi="Wingdings 2" w:hint="default"/>
      </w:rPr>
    </w:lvl>
    <w:lvl w:ilvl="2" w:tplc="FF5877F2" w:tentative="1">
      <w:start w:val="1"/>
      <w:numFmt w:val="bullet"/>
      <w:lvlText w:val=""/>
      <w:lvlJc w:val="left"/>
      <w:pPr>
        <w:tabs>
          <w:tab w:val="num" w:pos="2160"/>
        </w:tabs>
        <w:ind w:left="2160" w:hanging="360"/>
      </w:pPr>
      <w:rPr>
        <w:rFonts w:ascii="Wingdings 2" w:hAnsi="Wingdings 2" w:hint="default"/>
      </w:rPr>
    </w:lvl>
    <w:lvl w:ilvl="3" w:tplc="0E8A0F3C" w:tentative="1">
      <w:start w:val="1"/>
      <w:numFmt w:val="bullet"/>
      <w:lvlText w:val=""/>
      <w:lvlJc w:val="left"/>
      <w:pPr>
        <w:tabs>
          <w:tab w:val="num" w:pos="2880"/>
        </w:tabs>
        <w:ind w:left="2880" w:hanging="360"/>
      </w:pPr>
      <w:rPr>
        <w:rFonts w:ascii="Wingdings 2" w:hAnsi="Wingdings 2" w:hint="default"/>
      </w:rPr>
    </w:lvl>
    <w:lvl w:ilvl="4" w:tplc="CA303A32" w:tentative="1">
      <w:start w:val="1"/>
      <w:numFmt w:val="bullet"/>
      <w:lvlText w:val=""/>
      <w:lvlJc w:val="left"/>
      <w:pPr>
        <w:tabs>
          <w:tab w:val="num" w:pos="3600"/>
        </w:tabs>
        <w:ind w:left="3600" w:hanging="360"/>
      </w:pPr>
      <w:rPr>
        <w:rFonts w:ascii="Wingdings 2" w:hAnsi="Wingdings 2" w:hint="default"/>
      </w:rPr>
    </w:lvl>
    <w:lvl w:ilvl="5" w:tplc="139242E8" w:tentative="1">
      <w:start w:val="1"/>
      <w:numFmt w:val="bullet"/>
      <w:lvlText w:val=""/>
      <w:lvlJc w:val="left"/>
      <w:pPr>
        <w:tabs>
          <w:tab w:val="num" w:pos="4320"/>
        </w:tabs>
        <w:ind w:left="4320" w:hanging="360"/>
      </w:pPr>
      <w:rPr>
        <w:rFonts w:ascii="Wingdings 2" w:hAnsi="Wingdings 2" w:hint="default"/>
      </w:rPr>
    </w:lvl>
    <w:lvl w:ilvl="6" w:tplc="0EA40128" w:tentative="1">
      <w:start w:val="1"/>
      <w:numFmt w:val="bullet"/>
      <w:lvlText w:val=""/>
      <w:lvlJc w:val="left"/>
      <w:pPr>
        <w:tabs>
          <w:tab w:val="num" w:pos="5040"/>
        </w:tabs>
        <w:ind w:left="5040" w:hanging="360"/>
      </w:pPr>
      <w:rPr>
        <w:rFonts w:ascii="Wingdings 2" w:hAnsi="Wingdings 2" w:hint="default"/>
      </w:rPr>
    </w:lvl>
    <w:lvl w:ilvl="7" w:tplc="BB041814" w:tentative="1">
      <w:start w:val="1"/>
      <w:numFmt w:val="bullet"/>
      <w:lvlText w:val=""/>
      <w:lvlJc w:val="left"/>
      <w:pPr>
        <w:tabs>
          <w:tab w:val="num" w:pos="5760"/>
        </w:tabs>
        <w:ind w:left="5760" w:hanging="360"/>
      </w:pPr>
      <w:rPr>
        <w:rFonts w:ascii="Wingdings 2" w:hAnsi="Wingdings 2" w:hint="default"/>
      </w:rPr>
    </w:lvl>
    <w:lvl w:ilvl="8" w:tplc="13DC4D8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7873DD"/>
    <w:multiLevelType w:val="hybridMultilevel"/>
    <w:tmpl w:val="71485E1A"/>
    <w:lvl w:ilvl="0" w:tplc="8860478C">
      <w:start w:val="1"/>
      <w:numFmt w:val="bullet"/>
      <w:lvlText w:val=""/>
      <w:lvlJc w:val="left"/>
      <w:pPr>
        <w:tabs>
          <w:tab w:val="num" w:pos="720"/>
        </w:tabs>
        <w:ind w:left="720" w:hanging="360"/>
      </w:pPr>
      <w:rPr>
        <w:rFonts w:ascii="Wingdings 2" w:hAnsi="Wingdings 2" w:hint="default"/>
      </w:rPr>
    </w:lvl>
    <w:lvl w:ilvl="1" w:tplc="5DE8FC70" w:tentative="1">
      <w:start w:val="1"/>
      <w:numFmt w:val="bullet"/>
      <w:lvlText w:val=""/>
      <w:lvlJc w:val="left"/>
      <w:pPr>
        <w:tabs>
          <w:tab w:val="num" w:pos="1440"/>
        </w:tabs>
        <w:ind w:left="1440" w:hanging="360"/>
      </w:pPr>
      <w:rPr>
        <w:rFonts w:ascii="Wingdings 2" w:hAnsi="Wingdings 2" w:hint="default"/>
      </w:rPr>
    </w:lvl>
    <w:lvl w:ilvl="2" w:tplc="F64424CC" w:tentative="1">
      <w:start w:val="1"/>
      <w:numFmt w:val="bullet"/>
      <w:lvlText w:val=""/>
      <w:lvlJc w:val="left"/>
      <w:pPr>
        <w:tabs>
          <w:tab w:val="num" w:pos="2160"/>
        </w:tabs>
        <w:ind w:left="2160" w:hanging="360"/>
      </w:pPr>
      <w:rPr>
        <w:rFonts w:ascii="Wingdings 2" w:hAnsi="Wingdings 2" w:hint="default"/>
      </w:rPr>
    </w:lvl>
    <w:lvl w:ilvl="3" w:tplc="0748CBAC" w:tentative="1">
      <w:start w:val="1"/>
      <w:numFmt w:val="bullet"/>
      <w:lvlText w:val=""/>
      <w:lvlJc w:val="left"/>
      <w:pPr>
        <w:tabs>
          <w:tab w:val="num" w:pos="2880"/>
        </w:tabs>
        <w:ind w:left="2880" w:hanging="360"/>
      </w:pPr>
      <w:rPr>
        <w:rFonts w:ascii="Wingdings 2" w:hAnsi="Wingdings 2" w:hint="default"/>
      </w:rPr>
    </w:lvl>
    <w:lvl w:ilvl="4" w:tplc="41F6CDE4" w:tentative="1">
      <w:start w:val="1"/>
      <w:numFmt w:val="bullet"/>
      <w:lvlText w:val=""/>
      <w:lvlJc w:val="left"/>
      <w:pPr>
        <w:tabs>
          <w:tab w:val="num" w:pos="3600"/>
        </w:tabs>
        <w:ind w:left="3600" w:hanging="360"/>
      </w:pPr>
      <w:rPr>
        <w:rFonts w:ascii="Wingdings 2" w:hAnsi="Wingdings 2" w:hint="default"/>
      </w:rPr>
    </w:lvl>
    <w:lvl w:ilvl="5" w:tplc="53404D5C" w:tentative="1">
      <w:start w:val="1"/>
      <w:numFmt w:val="bullet"/>
      <w:lvlText w:val=""/>
      <w:lvlJc w:val="left"/>
      <w:pPr>
        <w:tabs>
          <w:tab w:val="num" w:pos="4320"/>
        </w:tabs>
        <w:ind w:left="4320" w:hanging="360"/>
      </w:pPr>
      <w:rPr>
        <w:rFonts w:ascii="Wingdings 2" w:hAnsi="Wingdings 2" w:hint="default"/>
      </w:rPr>
    </w:lvl>
    <w:lvl w:ilvl="6" w:tplc="4F280FDC" w:tentative="1">
      <w:start w:val="1"/>
      <w:numFmt w:val="bullet"/>
      <w:lvlText w:val=""/>
      <w:lvlJc w:val="left"/>
      <w:pPr>
        <w:tabs>
          <w:tab w:val="num" w:pos="5040"/>
        </w:tabs>
        <w:ind w:left="5040" w:hanging="360"/>
      </w:pPr>
      <w:rPr>
        <w:rFonts w:ascii="Wingdings 2" w:hAnsi="Wingdings 2" w:hint="default"/>
      </w:rPr>
    </w:lvl>
    <w:lvl w:ilvl="7" w:tplc="BF62C7A8" w:tentative="1">
      <w:start w:val="1"/>
      <w:numFmt w:val="bullet"/>
      <w:lvlText w:val=""/>
      <w:lvlJc w:val="left"/>
      <w:pPr>
        <w:tabs>
          <w:tab w:val="num" w:pos="5760"/>
        </w:tabs>
        <w:ind w:left="5760" w:hanging="360"/>
      </w:pPr>
      <w:rPr>
        <w:rFonts w:ascii="Wingdings 2" w:hAnsi="Wingdings 2" w:hint="default"/>
      </w:rPr>
    </w:lvl>
    <w:lvl w:ilvl="8" w:tplc="24366DD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F303EF2"/>
    <w:multiLevelType w:val="hybridMultilevel"/>
    <w:tmpl w:val="99D4B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F242A6"/>
    <w:multiLevelType w:val="hybridMultilevel"/>
    <w:tmpl w:val="32CAF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6F3FF6"/>
    <w:multiLevelType w:val="hybridMultilevel"/>
    <w:tmpl w:val="9DE01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A674D2"/>
    <w:multiLevelType w:val="hybridMultilevel"/>
    <w:tmpl w:val="D9B8E594"/>
    <w:lvl w:ilvl="0" w:tplc="090ED544">
      <w:start w:val="1"/>
      <w:numFmt w:val="bullet"/>
      <w:lvlText w:val=""/>
      <w:lvlJc w:val="left"/>
      <w:pPr>
        <w:tabs>
          <w:tab w:val="num" w:pos="360"/>
        </w:tabs>
        <w:ind w:left="360" w:hanging="360"/>
      </w:pPr>
      <w:rPr>
        <w:rFonts w:ascii="Wingdings 2" w:hAnsi="Wingdings 2" w:hint="default"/>
      </w:rPr>
    </w:lvl>
    <w:lvl w:ilvl="1" w:tplc="1FC89F3A" w:tentative="1">
      <w:start w:val="1"/>
      <w:numFmt w:val="bullet"/>
      <w:lvlText w:val=""/>
      <w:lvlJc w:val="left"/>
      <w:pPr>
        <w:tabs>
          <w:tab w:val="num" w:pos="1080"/>
        </w:tabs>
        <w:ind w:left="1080" w:hanging="360"/>
      </w:pPr>
      <w:rPr>
        <w:rFonts w:ascii="Wingdings 2" w:hAnsi="Wingdings 2" w:hint="default"/>
      </w:rPr>
    </w:lvl>
    <w:lvl w:ilvl="2" w:tplc="0C80DC12" w:tentative="1">
      <w:start w:val="1"/>
      <w:numFmt w:val="bullet"/>
      <w:lvlText w:val=""/>
      <w:lvlJc w:val="left"/>
      <w:pPr>
        <w:tabs>
          <w:tab w:val="num" w:pos="1800"/>
        </w:tabs>
        <w:ind w:left="1800" w:hanging="360"/>
      </w:pPr>
      <w:rPr>
        <w:rFonts w:ascii="Wingdings 2" w:hAnsi="Wingdings 2" w:hint="default"/>
      </w:rPr>
    </w:lvl>
    <w:lvl w:ilvl="3" w:tplc="472A6DE2" w:tentative="1">
      <w:start w:val="1"/>
      <w:numFmt w:val="bullet"/>
      <w:lvlText w:val=""/>
      <w:lvlJc w:val="left"/>
      <w:pPr>
        <w:tabs>
          <w:tab w:val="num" w:pos="2520"/>
        </w:tabs>
        <w:ind w:left="2520" w:hanging="360"/>
      </w:pPr>
      <w:rPr>
        <w:rFonts w:ascii="Wingdings 2" w:hAnsi="Wingdings 2" w:hint="default"/>
      </w:rPr>
    </w:lvl>
    <w:lvl w:ilvl="4" w:tplc="030A148A" w:tentative="1">
      <w:start w:val="1"/>
      <w:numFmt w:val="bullet"/>
      <w:lvlText w:val=""/>
      <w:lvlJc w:val="left"/>
      <w:pPr>
        <w:tabs>
          <w:tab w:val="num" w:pos="3240"/>
        </w:tabs>
        <w:ind w:left="3240" w:hanging="360"/>
      </w:pPr>
      <w:rPr>
        <w:rFonts w:ascii="Wingdings 2" w:hAnsi="Wingdings 2" w:hint="default"/>
      </w:rPr>
    </w:lvl>
    <w:lvl w:ilvl="5" w:tplc="572E10A0" w:tentative="1">
      <w:start w:val="1"/>
      <w:numFmt w:val="bullet"/>
      <w:lvlText w:val=""/>
      <w:lvlJc w:val="left"/>
      <w:pPr>
        <w:tabs>
          <w:tab w:val="num" w:pos="3960"/>
        </w:tabs>
        <w:ind w:left="3960" w:hanging="360"/>
      </w:pPr>
      <w:rPr>
        <w:rFonts w:ascii="Wingdings 2" w:hAnsi="Wingdings 2" w:hint="default"/>
      </w:rPr>
    </w:lvl>
    <w:lvl w:ilvl="6" w:tplc="4BB61BB4" w:tentative="1">
      <w:start w:val="1"/>
      <w:numFmt w:val="bullet"/>
      <w:lvlText w:val=""/>
      <w:lvlJc w:val="left"/>
      <w:pPr>
        <w:tabs>
          <w:tab w:val="num" w:pos="4680"/>
        </w:tabs>
        <w:ind w:left="4680" w:hanging="360"/>
      </w:pPr>
      <w:rPr>
        <w:rFonts w:ascii="Wingdings 2" w:hAnsi="Wingdings 2" w:hint="default"/>
      </w:rPr>
    </w:lvl>
    <w:lvl w:ilvl="7" w:tplc="29B0D422" w:tentative="1">
      <w:start w:val="1"/>
      <w:numFmt w:val="bullet"/>
      <w:lvlText w:val=""/>
      <w:lvlJc w:val="left"/>
      <w:pPr>
        <w:tabs>
          <w:tab w:val="num" w:pos="5400"/>
        </w:tabs>
        <w:ind w:left="5400" w:hanging="360"/>
      </w:pPr>
      <w:rPr>
        <w:rFonts w:ascii="Wingdings 2" w:hAnsi="Wingdings 2" w:hint="default"/>
      </w:rPr>
    </w:lvl>
    <w:lvl w:ilvl="8" w:tplc="C6E612F8"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6C332A9F"/>
    <w:multiLevelType w:val="hybridMultilevel"/>
    <w:tmpl w:val="C5B8D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0F470C"/>
    <w:multiLevelType w:val="hybridMultilevel"/>
    <w:tmpl w:val="96DA9694"/>
    <w:lvl w:ilvl="0" w:tplc="35E2B1A4">
      <w:start w:val="1"/>
      <w:numFmt w:val="bullet"/>
      <w:lvlText w:val=""/>
      <w:lvlJc w:val="left"/>
      <w:pPr>
        <w:tabs>
          <w:tab w:val="num" w:pos="720"/>
        </w:tabs>
        <w:ind w:left="720" w:hanging="360"/>
      </w:pPr>
      <w:rPr>
        <w:rFonts w:ascii="Wingdings 2" w:hAnsi="Wingdings 2" w:hint="default"/>
      </w:rPr>
    </w:lvl>
    <w:lvl w:ilvl="1" w:tplc="5E02C806">
      <w:start w:val="238"/>
      <w:numFmt w:val="bullet"/>
      <w:lvlText w:val="◦"/>
      <w:lvlJc w:val="left"/>
      <w:pPr>
        <w:tabs>
          <w:tab w:val="num" w:pos="1440"/>
        </w:tabs>
        <w:ind w:left="1440" w:hanging="360"/>
      </w:pPr>
      <w:rPr>
        <w:rFonts w:ascii="Verdana" w:hAnsi="Verdana" w:hint="default"/>
      </w:rPr>
    </w:lvl>
    <w:lvl w:ilvl="2" w:tplc="16A8ACBA" w:tentative="1">
      <w:start w:val="1"/>
      <w:numFmt w:val="bullet"/>
      <w:lvlText w:val=""/>
      <w:lvlJc w:val="left"/>
      <w:pPr>
        <w:tabs>
          <w:tab w:val="num" w:pos="2160"/>
        </w:tabs>
        <w:ind w:left="2160" w:hanging="360"/>
      </w:pPr>
      <w:rPr>
        <w:rFonts w:ascii="Wingdings 2" w:hAnsi="Wingdings 2" w:hint="default"/>
      </w:rPr>
    </w:lvl>
    <w:lvl w:ilvl="3" w:tplc="F2EAA984" w:tentative="1">
      <w:start w:val="1"/>
      <w:numFmt w:val="bullet"/>
      <w:lvlText w:val=""/>
      <w:lvlJc w:val="left"/>
      <w:pPr>
        <w:tabs>
          <w:tab w:val="num" w:pos="2880"/>
        </w:tabs>
        <w:ind w:left="2880" w:hanging="360"/>
      </w:pPr>
      <w:rPr>
        <w:rFonts w:ascii="Wingdings 2" w:hAnsi="Wingdings 2" w:hint="default"/>
      </w:rPr>
    </w:lvl>
    <w:lvl w:ilvl="4" w:tplc="D18EEE14" w:tentative="1">
      <w:start w:val="1"/>
      <w:numFmt w:val="bullet"/>
      <w:lvlText w:val=""/>
      <w:lvlJc w:val="left"/>
      <w:pPr>
        <w:tabs>
          <w:tab w:val="num" w:pos="3600"/>
        </w:tabs>
        <w:ind w:left="3600" w:hanging="360"/>
      </w:pPr>
      <w:rPr>
        <w:rFonts w:ascii="Wingdings 2" w:hAnsi="Wingdings 2" w:hint="default"/>
      </w:rPr>
    </w:lvl>
    <w:lvl w:ilvl="5" w:tplc="2C3200DC" w:tentative="1">
      <w:start w:val="1"/>
      <w:numFmt w:val="bullet"/>
      <w:lvlText w:val=""/>
      <w:lvlJc w:val="left"/>
      <w:pPr>
        <w:tabs>
          <w:tab w:val="num" w:pos="4320"/>
        </w:tabs>
        <w:ind w:left="4320" w:hanging="360"/>
      </w:pPr>
      <w:rPr>
        <w:rFonts w:ascii="Wingdings 2" w:hAnsi="Wingdings 2" w:hint="default"/>
      </w:rPr>
    </w:lvl>
    <w:lvl w:ilvl="6" w:tplc="4BBE072E" w:tentative="1">
      <w:start w:val="1"/>
      <w:numFmt w:val="bullet"/>
      <w:lvlText w:val=""/>
      <w:lvlJc w:val="left"/>
      <w:pPr>
        <w:tabs>
          <w:tab w:val="num" w:pos="5040"/>
        </w:tabs>
        <w:ind w:left="5040" w:hanging="360"/>
      </w:pPr>
      <w:rPr>
        <w:rFonts w:ascii="Wingdings 2" w:hAnsi="Wingdings 2" w:hint="default"/>
      </w:rPr>
    </w:lvl>
    <w:lvl w:ilvl="7" w:tplc="DE6C8768" w:tentative="1">
      <w:start w:val="1"/>
      <w:numFmt w:val="bullet"/>
      <w:lvlText w:val=""/>
      <w:lvlJc w:val="left"/>
      <w:pPr>
        <w:tabs>
          <w:tab w:val="num" w:pos="5760"/>
        </w:tabs>
        <w:ind w:left="5760" w:hanging="360"/>
      </w:pPr>
      <w:rPr>
        <w:rFonts w:ascii="Wingdings 2" w:hAnsi="Wingdings 2" w:hint="default"/>
      </w:rPr>
    </w:lvl>
    <w:lvl w:ilvl="8" w:tplc="0C60039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F5959D3"/>
    <w:multiLevelType w:val="hybridMultilevel"/>
    <w:tmpl w:val="6A6E9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8E"/>
    <w:rsid w:val="0003762B"/>
    <w:rsid w:val="001475FC"/>
    <w:rsid w:val="001F184A"/>
    <w:rsid w:val="004F66DC"/>
    <w:rsid w:val="00535617"/>
    <w:rsid w:val="005B5065"/>
    <w:rsid w:val="005D298E"/>
    <w:rsid w:val="00605F51"/>
    <w:rsid w:val="006D4C4E"/>
    <w:rsid w:val="00715EEF"/>
    <w:rsid w:val="007C2E59"/>
    <w:rsid w:val="00820EB0"/>
    <w:rsid w:val="008D7C12"/>
    <w:rsid w:val="008F7A65"/>
    <w:rsid w:val="00AE66A2"/>
    <w:rsid w:val="00AF7F3B"/>
    <w:rsid w:val="00BF6830"/>
    <w:rsid w:val="00D674B3"/>
    <w:rsid w:val="00E02F93"/>
    <w:rsid w:val="00E04A53"/>
    <w:rsid w:val="00F21740"/>
    <w:rsid w:val="00F77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C090"/>
  <w15:chartTrackingRefBased/>
  <w15:docId w15:val="{6A4809BF-AA3A-4C3C-9F1B-CFCCAEB3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D298E"/>
    <w:rPr>
      <w:color w:val="0563C1" w:themeColor="hyperlink"/>
      <w:u w:val="single"/>
    </w:rPr>
  </w:style>
  <w:style w:type="character" w:styleId="BesuchterLink">
    <w:name w:val="FollowedHyperlink"/>
    <w:basedOn w:val="Absatz-Standardschriftart"/>
    <w:uiPriority w:val="99"/>
    <w:semiHidden/>
    <w:unhideWhenUsed/>
    <w:rsid w:val="00820EB0"/>
    <w:rPr>
      <w:color w:val="954F72" w:themeColor="followedHyperlink"/>
      <w:u w:val="single"/>
    </w:rPr>
  </w:style>
  <w:style w:type="paragraph" w:styleId="Listenabsatz">
    <w:name w:val="List Paragraph"/>
    <w:basedOn w:val="Standard"/>
    <w:uiPriority w:val="34"/>
    <w:qFormat/>
    <w:rsid w:val="00E02F93"/>
    <w:pPr>
      <w:ind w:left="720"/>
      <w:contextualSpacing/>
    </w:pPr>
  </w:style>
  <w:style w:type="paragraph" w:styleId="StandardWeb">
    <w:name w:val="Normal (Web)"/>
    <w:basedOn w:val="Standard"/>
    <w:uiPriority w:val="99"/>
    <w:semiHidden/>
    <w:unhideWhenUsed/>
    <w:rsid w:val="007C2E59"/>
    <w:pPr>
      <w:spacing w:before="100" w:beforeAutospacing="1" w:after="100" w:afterAutospacing="1" w:line="240" w:lineRule="auto"/>
    </w:pPr>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rsid w:val="006D4C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4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6098">
      <w:bodyDiv w:val="1"/>
      <w:marLeft w:val="0"/>
      <w:marRight w:val="0"/>
      <w:marTop w:val="0"/>
      <w:marBottom w:val="0"/>
      <w:divBdr>
        <w:top w:val="none" w:sz="0" w:space="0" w:color="auto"/>
        <w:left w:val="none" w:sz="0" w:space="0" w:color="auto"/>
        <w:bottom w:val="none" w:sz="0" w:space="0" w:color="auto"/>
        <w:right w:val="none" w:sz="0" w:space="0" w:color="auto"/>
      </w:divBdr>
      <w:divsChild>
        <w:div w:id="1801992086">
          <w:marLeft w:val="0"/>
          <w:marRight w:val="0"/>
          <w:marTop w:val="0"/>
          <w:marBottom w:val="0"/>
          <w:divBdr>
            <w:top w:val="none" w:sz="0" w:space="0" w:color="auto"/>
            <w:left w:val="none" w:sz="0" w:space="0" w:color="auto"/>
            <w:bottom w:val="none" w:sz="0" w:space="0" w:color="auto"/>
            <w:right w:val="none" w:sz="0" w:space="0" w:color="auto"/>
          </w:divBdr>
        </w:div>
      </w:divsChild>
    </w:div>
    <w:div w:id="958755049">
      <w:bodyDiv w:val="1"/>
      <w:marLeft w:val="0"/>
      <w:marRight w:val="0"/>
      <w:marTop w:val="0"/>
      <w:marBottom w:val="0"/>
      <w:divBdr>
        <w:top w:val="none" w:sz="0" w:space="0" w:color="auto"/>
        <w:left w:val="none" w:sz="0" w:space="0" w:color="auto"/>
        <w:bottom w:val="none" w:sz="0" w:space="0" w:color="auto"/>
        <w:right w:val="none" w:sz="0" w:space="0" w:color="auto"/>
      </w:divBdr>
      <w:divsChild>
        <w:div w:id="1540433880">
          <w:marLeft w:val="576"/>
          <w:marRight w:val="0"/>
          <w:marTop w:val="120"/>
          <w:marBottom w:val="0"/>
          <w:divBdr>
            <w:top w:val="none" w:sz="0" w:space="0" w:color="auto"/>
            <w:left w:val="none" w:sz="0" w:space="0" w:color="auto"/>
            <w:bottom w:val="none" w:sz="0" w:space="0" w:color="auto"/>
            <w:right w:val="none" w:sz="0" w:space="0" w:color="auto"/>
          </w:divBdr>
        </w:div>
        <w:div w:id="1511067938">
          <w:marLeft w:val="576"/>
          <w:marRight w:val="0"/>
          <w:marTop w:val="120"/>
          <w:marBottom w:val="0"/>
          <w:divBdr>
            <w:top w:val="none" w:sz="0" w:space="0" w:color="auto"/>
            <w:left w:val="none" w:sz="0" w:space="0" w:color="auto"/>
            <w:bottom w:val="none" w:sz="0" w:space="0" w:color="auto"/>
            <w:right w:val="none" w:sz="0" w:space="0" w:color="auto"/>
          </w:divBdr>
        </w:div>
        <w:div w:id="1621646090">
          <w:marLeft w:val="576"/>
          <w:marRight w:val="0"/>
          <w:marTop w:val="120"/>
          <w:marBottom w:val="0"/>
          <w:divBdr>
            <w:top w:val="none" w:sz="0" w:space="0" w:color="auto"/>
            <w:left w:val="none" w:sz="0" w:space="0" w:color="auto"/>
            <w:bottom w:val="none" w:sz="0" w:space="0" w:color="auto"/>
            <w:right w:val="none" w:sz="0" w:space="0" w:color="auto"/>
          </w:divBdr>
        </w:div>
      </w:divsChild>
    </w:div>
    <w:div w:id="959536894">
      <w:bodyDiv w:val="1"/>
      <w:marLeft w:val="0"/>
      <w:marRight w:val="0"/>
      <w:marTop w:val="0"/>
      <w:marBottom w:val="0"/>
      <w:divBdr>
        <w:top w:val="none" w:sz="0" w:space="0" w:color="auto"/>
        <w:left w:val="none" w:sz="0" w:space="0" w:color="auto"/>
        <w:bottom w:val="none" w:sz="0" w:space="0" w:color="auto"/>
        <w:right w:val="none" w:sz="0" w:space="0" w:color="auto"/>
      </w:divBdr>
    </w:div>
    <w:div w:id="991101572">
      <w:bodyDiv w:val="1"/>
      <w:marLeft w:val="0"/>
      <w:marRight w:val="0"/>
      <w:marTop w:val="0"/>
      <w:marBottom w:val="0"/>
      <w:divBdr>
        <w:top w:val="none" w:sz="0" w:space="0" w:color="auto"/>
        <w:left w:val="none" w:sz="0" w:space="0" w:color="auto"/>
        <w:bottom w:val="none" w:sz="0" w:space="0" w:color="auto"/>
        <w:right w:val="none" w:sz="0" w:space="0" w:color="auto"/>
      </w:divBdr>
    </w:div>
    <w:div w:id="1712655245">
      <w:bodyDiv w:val="1"/>
      <w:marLeft w:val="0"/>
      <w:marRight w:val="0"/>
      <w:marTop w:val="0"/>
      <w:marBottom w:val="0"/>
      <w:divBdr>
        <w:top w:val="none" w:sz="0" w:space="0" w:color="auto"/>
        <w:left w:val="none" w:sz="0" w:space="0" w:color="auto"/>
        <w:bottom w:val="none" w:sz="0" w:space="0" w:color="auto"/>
        <w:right w:val="none" w:sz="0" w:space="0" w:color="auto"/>
      </w:divBdr>
    </w:div>
    <w:div w:id="1932928411">
      <w:bodyDiv w:val="1"/>
      <w:marLeft w:val="0"/>
      <w:marRight w:val="0"/>
      <w:marTop w:val="0"/>
      <w:marBottom w:val="0"/>
      <w:divBdr>
        <w:top w:val="none" w:sz="0" w:space="0" w:color="auto"/>
        <w:left w:val="none" w:sz="0" w:space="0" w:color="auto"/>
        <w:bottom w:val="none" w:sz="0" w:space="0" w:color="auto"/>
        <w:right w:val="none" w:sz="0" w:space="0" w:color="auto"/>
      </w:divBdr>
      <w:divsChild>
        <w:div w:id="2058893124">
          <w:marLeft w:val="576"/>
          <w:marRight w:val="0"/>
          <w:marTop w:val="120"/>
          <w:marBottom w:val="0"/>
          <w:divBdr>
            <w:top w:val="none" w:sz="0" w:space="0" w:color="auto"/>
            <w:left w:val="none" w:sz="0" w:space="0" w:color="auto"/>
            <w:bottom w:val="none" w:sz="0" w:space="0" w:color="auto"/>
            <w:right w:val="none" w:sz="0" w:space="0" w:color="auto"/>
          </w:divBdr>
        </w:div>
        <w:div w:id="1766614471">
          <w:marLeft w:val="576"/>
          <w:marRight w:val="0"/>
          <w:marTop w:val="120"/>
          <w:marBottom w:val="0"/>
          <w:divBdr>
            <w:top w:val="none" w:sz="0" w:space="0" w:color="auto"/>
            <w:left w:val="none" w:sz="0" w:space="0" w:color="auto"/>
            <w:bottom w:val="none" w:sz="0" w:space="0" w:color="auto"/>
            <w:right w:val="none" w:sz="0" w:space="0" w:color="auto"/>
          </w:divBdr>
        </w:div>
        <w:div w:id="2111852315">
          <w:marLeft w:val="1008"/>
          <w:marRight w:val="0"/>
          <w:marTop w:val="110"/>
          <w:marBottom w:val="0"/>
          <w:divBdr>
            <w:top w:val="none" w:sz="0" w:space="0" w:color="auto"/>
            <w:left w:val="none" w:sz="0" w:space="0" w:color="auto"/>
            <w:bottom w:val="none" w:sz="0" w:space="0" w:color="auto"/>
            <w:right w:val="none" w:sz="0" w:space="0" w:color="auto"/>
          </w:divBdr>
        </w:div>
        <w:div w:id="197159671">
          <w:marLeft w:val="1008"/>
          <w:marRight w:val="0"/>
          <w:marTop w:val="110"/>
          <w:marBottom w:val="0"/>
          <w:divBdr>
            <w:top w:val="none" w:sz="0" w:space="0" w:color="auto"/>
            <w:left w:val="none" w:sz="0" w:space="0" w:color="auto"/>
            <w:bottom w:val="none" w:sz="0" w:space="0" w:color="auto"/>
            <w:right w:val="none" w:sz="0" w:space="0" w:color="auto"/>
          </w:divBdr>
        </w:div>
        <w:div w:id="1511680707">
          <w:marLeft w:val="1008"/>
          <w:marRight w:val="0"/>
          <w:marTop w:val="110"/>
          <w:marBottom w:val="0"/>
          <w:divBdr>
            <w:top w:val="none" w:sz="0" w:space="0" w:color="auto"/>
            <w:left w:val="none" w:sz="0" w:space="0" w:color="auto"/>
            <w:bottom w:val="none" w:sz="0" w:space="0" w:color="auto"/>
            <w:right w:val="none" w:sz="0" w:space="0" w:color="auto"/>
          </w:divBdr>
        </w:div>
        <w:div w:id="822502750">
          <w:marLeft w:val="576"/>
          <w:marRight w:val="0"/>
          <w:marTop w:val="120"/>
          <w:marBottom w:val="0"/>
          <w:divBdr>
            <w:top w:val="none" w:sz="0" w:space="0" w:color="auto"/>
            <w:left w:val="none" w:sz="0" w:space="0" w:color="auto"/>
            <w:bottom w:val="none" w:sz="0" w:space="0" w:color="auto"/>
            <w:right w:val="none" w:sz="0" w:space="0" w:color="auto"/>
          </w:divBdr>
        </w:div>
        <w:div w:id="1893417653">
          <w:marLeft w:val="1008"/>
          <w:marRight w:val="0"/>
          <w:marTop w:val="110"/>
          <w:marBottom w:val="0"/>
          <w:divBdr>
            <w:top w:val="none" w:sz="0" w:space="0" w:color="auto"/>
            <w:left w:val="none" w:sz="0" w:space="0" w:color="auto"/>
            <w:bottom w:val="none" w:sz="0" w:space="0" w:color="auto"/>
            <w:right w:val="none" w:sz="0" w:space="0" w:color="auto"/>
          </w:divBdr>
        </w:div>
        <w:div w:id="1821576142">
          <w:marLeft w:val="576"/>
          <w:marRight w:val="0"/>
          <w:marTop w:val="120"/>
          <w:marBottom w:val="0"/>
          <w:divBdr>
            <w:top w:val="none" w:sz="0" w:space="0" w:color="auto"/>
            <w:left w:val="none" w:sz="0" w:space="0" w:color="auto"/>
            <w:bottom w:val="none" w:sz="0" w:space="0" w:color="auto"/>
            <w:right w:val="none" w:sz="0" w:space="0" w:color="auto"/>
          </w:divBdr>
        </w:div>
        <w:div w:id="430011123">
          <w:marLeft w:val="1008"/>
          <w:marRight w:val="0"/>
          <w:marTop w:val="110"/>
          <w:marBottom w:val="0"/>
          <w:divBdr>
            <w:top w:val="none" w:sz="0" w:space="0" w:color="auto"/>
            <w:left w:val="none" w:sz="0" w:space="0" w:color="auto"/>
            <w:bottom w:val="none" w:sz="0" w:space="0" w:color="auto"/>
            <w:right w:val="none" w:sz="0" w:space="0" w:color="auto"/>
          </w:divBdr>
        </w:div>
      </w:divsChild>
    </w:div>
    <w:div w:id="1937906170">
      <w:bodyDiv w:val="1"/>
      <w:marLeft w:val="0"/>
      <w:marRight w:val="0"/>
      <w:marTop w:val="0"/>
      <w:marBottom w:val="0"/>
      <w:divBdr>
        <w:top w:val="none" w:sz="0" w:space="0" w:color="auto"/>
        <w:left w:val="none" w:sz="0" w:space="0" w:color="auto"/>
        <w:bottom w:val="none" w:sz="0" w:space="0" w:color="auto"/>
        <w:right w:val="none" w:sz="0" w:space="0" w:color="auto"/>
      </w:divBdr>
    </w:div>
    <w:div w:id="2080982417">
      <w:bodyDiv w:val="1"/>
      <w:marLeft w:val="0"/>
      <w:marRight w:val="0"/>
      <w:marTop w:val="0"/>
      <w:marBottom w:val="0"/>
      <w:divBdr>
        <w:top w:val="none" w:sz="0" w:space="0" w:color="auto"/>
        <w:left w:val="none" w:sz="0" w:space="0" w:color="auto"/>
        <w:bottom w:val="none" w:sz="0" w:space="0" w:color="auto"/>
        <w:right w:val="none" w:sz="0" w:space="0" w:color="auto"/>
      </w:divBdr>
    </w:div>
    <w:div w:id="2090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www.gesetze-bayern.de/Content/Document/BayEUG"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Beratungsstelle Inklusion - Schulamt NL</dc:creator>
  <cp:keywords/>
  <dc:description/>
  <cp:lastModifiedBy>Beratungsstelle Inklusion - Schulamt NL</cp:lastModifiedBy>
  <cp:revision>10</cp:revision>
  <cp:lastPrinted>2018-10-25T13:41:00Z</cp:lastPrinted>
  <dcterms:created xsi:type="dcterms:W3CDTF">2018-10-11T13:22:00Z</dcterms:created>
  <dcterms:modified xsi:type="dcterms:W3CDTF">2018-11-15T15:08:00Z</dcterms:modified>
</cp:coreProperties>
</file>